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32"/>
        </w:rPr>
        <w:t>附件1：</w:t>
      </w:r>
    </w:p>
    <w:p>
      <w:pPr>
        <w:spacing w:after="156" w:afterLines="5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201</w:t>
      </w:r>
      <w:r>
        <w:rPr>
          <w:b/>
          <w:sz w:val="36"/>
          <w:szCs w:val="36"/>
        </w:rPr>
        <w:t>9</w:t>
      </w:r>
      <w:r>
        <w:rPr>
          <w:rFonts w:hint="eastAsia"/>
          <w:b/>
          <w:sz w:val="36"/>
          <w:szCs w:val="36"/>
        </w:rPr>
        <w:t>年硕博连读资格成绩排名计算规则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一、学生基数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1．入学方式为统考或推免的所有2016</w:t>
      </w:r>
      <w:r>
        <w:rPr>
          <w:rFonts w:hint="eastAsia" w:ascii="仿宋_GB2312" w:eastAsia="仿宋_GB2312"/>
          <w:sz w:val="32"/>
        </w:rPr>
        <w:t>级、2017</w:t>
      </w:r>
      <w:r>
        <w:rPr>
          <w:rFonts w:hint="eastAsia" w:ascii="仿宋_GB2312" w:eastAsia="仿宋_GB2312"/>
          <w:sz w:val="32"/>
        </w:rPr>
        <w:t>级硕士</w:t>
      </w:r>
      <w:r>
        <w:rPr>
          <w:rFonts w:hint="eastAsia" w:ascii="仿宋_GB2312" w:eastAsia="仿宋_GB2312"/>
          <w:sz w:val="32"/>
          <w:lang w:val="en-US" w:eastAsia="zh-CN"/>
        </w:rPr>
        <w:t>研究</w:t>
      </w:r>
      <w:r>
        <w:rPr>
          <w:rFonts w:hint="eastAsia" w:ascii="仿宋_GB2312" w:eastAsia="仿宋_GB2312"/>
          <w:sz w:val="32"/>
        </w:rPr>
        <w:t>生（不区分全日制、非全日制，不含未入学的</w:t>
      </w:r>
      <w:r>
        <w:rPr>
          <w:rFonts w:hint="eastAsia" w:ascii="仿宋_GB2312" w:eastAsia="仿宋_GB2312"/>
          <w:sz w:val="32"/>
          <w:lang w:val="en-US" w:eastAsia="zh-CN"/>
        </w:rPr>
        <w:t>硕士生</w:t>
      </w:r>
      <w:bookmarkStart w:id="0" w:name="_GoBack"/>
      <w:bookmarkEnd w:id="0"/>
      <w:r>
        <w:rPr>
          <w:rFonts w:hint="eastAsia" w:ascii="仿宋_GB2312" w:eastAsia="仿宋_GB2312"/>
          <w:sz w:val="32"/>
        </w:rPr>
        <w:t>，下同</w:t>
      </w:r>
      <w:r>
        <w:rPr>
          <w:rFonts w:hint="eastAsia" w:ascii="仿宋_GB2312" w:eastAsia="仿宋_GB2312"/>
          <w:sz w:val="3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2．休学的201</w:t>
      </w:r>
      <w:r>
        <w:rPr>
          <w:rFonts w:ascii="仿宋_GB2312" w:eastAsia="仿宋_GB2312"/>
          <w:sz w:val="32"/>
        </w:rPr>
        <w:t>6</w:t>
      </w:r>
      <w:r>
        <w:rPr>
          <w:rFonts w:hint="eastAsia" w:ascii="仿宋_GB2312" w:eastAsia="仿宋_GB2312"/>
          <w:sz w:val="32"/>
        </w:rPr>
        <w:t>级、201</w:t>
      </w:r>
      <w:r>
        <w:rPr>
          <w:rFonts w:ascii="仿宋_GB2312" w:eastAsia="仿宋_GB2312"/>
          <w:sz w:val="32"/>
        </w:rPr>
        <w:t>7</w:t>
      </w:r>
      <w:r>
        <w:rPr>
          <w:rFonts w:hint="eastAsia" w:ascii="仿宋_GB2312" w:eastAsia="仿宋_GB2312"/>
          <w:sz w:val="32"/>
        </w:rPr>
        <w:t>级硕士</w:t>
      </w:r>
      <w:r>
        <w:rPr>
          <w:rFonts w:hint="eastAsia" w:ascii="仿宋_GB2312" w:eastAsia="仿宋_GB2312"/>
          <w:sz w:val="32"/>
          <w:lang w:val="en-US" w:eastAsia="zh-CN"/>
        </w:rPr>
        <w:t>研究生</w:t>
      </w:r>
      <w:r>
        <w:rPr>
          <w:rFonts w:hint="eastAsia" w:ascii="仿宋_GB2312" w:eastAsia="仿宋_GB2312"/>
          <w:sz w:val="32"/>
          <w:lang w:eastAsia="zh-CN"/>
        </w:rPr>
        <w:t>、</w:t>
      </w:r>
      <w:r>
        <w:rPr>
          <w:rFonts w:hint="eastAsia" w:ascii="仿宋_GB2312" w:eastAsia="仿宋_GB2312"/>
          <w:sz w:val="32"/>
        </w:rPr>
        <w:t>已毕业的201</w:t>
      </w:r>
      <w:r>
        <w:rPr>
          <w:rFonts w:ascii="仿宋_GB2312" w:eastAsia="仿宋_GB2312"/>
          <w:sz w:val="32"/>
        </w:rPr>
        <w:t>6</w:t>
      </w:r>
      <w:r>
        <w:rPr>
          <w:rFonts w:hint="eastAsia" w:ascii="仿宋_GB2312" w:eastAsia="仿宋_GB2312"/>
          <w:sz w:val="32"/>
        </w:rPr>
        <w:t>级硕士</w:t>
      </w:r>
      <w:r>
        <w:rPr>
          <w:rFonts w:hint="eastAsia" w:ascii="仿宋_GB2312" w:eastAsia="仿宋_GB2312"/>
          <w:sz w:val="32"/>
          <w:lang w:val="en-US" w:eastAsia="zh-CN"/>
        </w:rPr>
        <w:t>研究生</w:t>
      </w:r>
      <w:r>
        <w:rPr>
          <w:rFonts w:hint="eastAsia" w:ascii="仿宋_GB2312" w:eastAsia="仿宋_GB2312"/>
          <w:sz w:val="32"/>
        </w:rPr>
        <w:t>，仍然计入本年级硕士研究生基数，并在本年级进行成绩排名。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3．已取得硕博连读资格的201</w:t>
      </w:r>
      <w:r>
        <w:rPr>
          <w:rFonts w:ascii="仿宋_GB2312" w:eastAsia="仿宋_GB2312"/>
          <w:sz w:val="32"/>
        </w:rPr>
        <w:t>6</w:t>
      </w:r>
      <w:r>
        <w:rPr>
          <w:rFonts w:hint="eastAsia" w:ascii="仿宋_GB2312" w:eastAsia="仿宋_GB2312"/>
          <w:sz w:val="32"/>
        </w:rPr>
        <w:t>级、201</w:t>
      </w:r>
      <w:r>
        <w:rPr>
          <w:rFonts w:ascii="仿宋_GB2312" w:eastAsia="仿宋_GB2312"/>
          <w:sz w:val="32"/>
        </w:rPr>
        <w:t>7</w:t>
      </w:r>
      <w:r>
        <w:rPr>
          <w:rFonts w:hint="eastAsia" w:ascii="仿宋_GB2312" w:eastAsia="仿宋_GB2312"/>
          <w:sz w:val="32"/>
        </w:rPr>
        <w:t>级硕士</w:t>
      </w:r>
      <w:r>
        <w:rPr>
          <w:rFonts w:hint="eastAsia" w:ascii="仿宋_GB2312" w:eastAsia="仿宋_GB2312"/>
          <w:sz w:val="32"/>
          <w:lang w:val="en-US" w:eastAsia="zh-CN"/>
        </w:rPr>
        <w:t>研究生</w:t>
      </w:r>
      <w:r>
        <w:rPr>
          <w:rFonts w:hint="eastAsia" w:ascii="仿宋_GB2312" w:eastAsia="仿宋_GB2312"/>
          <w:sz w:val="32"/>
        </w:rPr>
        <w:t>仍然计入当年级硕士</w:t>
      </w:r>
      <w:r>
        <w:rPr>
          <w:rFonts w:hint="eastAsia" w:ascii="仿宋_GB2312" w:eastAsia="仿宋_GB2312"/>
          <w:sz w:val="32"/>
          <w:lang w:val="en-US" w:eastAsia="zh-CN"/>
        </w:rPr>
        <w:t>研究生</w:t>
      </w:r>
      <w:r>
        <w:rPr>
          <w:rFonts w:hint="eastAsia" w:ascii="仿宋_GB2312" w:eastAsia="仿宋_GB2312"/>
          <w:sz w:val="32"/>
        </w:rPr>
        <w:t>基数。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二、成绩计算的课程范围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除文献综述报告、学术活动、实践、实验环节成绩外，研究生培养计划规定的其他所有课程成绩。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三、平均成绩计算方法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1．平均成绩的计算取“加权平均成绩”，即“Σ（学分×成绩）/Σ学分”，每门课程只计算1次成绩。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 “五分制”成绩中的“优、良、中、及格、不及格”折合“百分制”对应分数分别为“95、85、75、65、35”。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3．不及格课程经重修或重考后取得合格成绩的，成绩按照60分计算；不及格课程经重修或重考仍未达到合格成绩的，按照该门课程已取得的最高成绩计算。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 缓考取得的合格成绩，“百分制”按照实际成绩计算，“五分制”按照前述第2点的方法进行折合。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 学生多选的选修课程，未进行退课的，仍列入成绩计算范围。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四、成绩排名方式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</w:pPr>
      <w:r>
        <w:rPr>
          <w:rFonts w:hint="eastAsia" w:ascii="仿宋_GB2312" w:eastAsia="仿宋_GB2312"/>
          <w:sz w:val="32"/>
        </w:rPr>
        <w:t>各院系按照硕士研究生的入学年级、入学就读专业（或领域）、平均成绩计算成绩排名。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299"/>
    <w:rsid w:val="009F4299"/>
    <w:rsid w:val="00B32865"/>
    <w:rsid w:val="00CD369B"/>
    <w:rsid w:val="17137924"/>
    <w:rsid w:val="3E64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</Words>
  <Characters>470</Characters>
  <Lines>3</Lines>
  <Paragraphs>1</Paragraphs>
  <TotalTime>7</TotalTime>
  <ScaleCrop>false</ScaleCrop>
  <LinksUpToDate>false</LinksUpToDate>
  <CharactersWithSpaces>551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2018-11-07T00:45:00Z</dcterms:created>
  <dc:creator>Cai Yuanpei</dc:creator>
  <cp:lastModifiedBy>顽石/kf</cp:lastModifiedBy>
  <dcterms:modified xsi:type="dcterms:W3CDTF">2018-11-07T06:17:04Z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